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E7EBB" w:rsidRDefault="00CE7EBB">
      <w:pPr>
        <w:pStyle w:val="Titolo"/>
      </w:pPr>
    </w:p>
    <w:p w14:paraId="00000002" w14:textId="77777777" w:rsidR="00CE7EBB" w:rsidRDefault="00132D4D">
      <w:pPr>
        <w:pStyle w:val="Titolo"/>
        <w:spacing w:after="0"/>
      </w:pPr>
      <w:r>
        <w:t xml:space="preserve">ISTRUZIONI PER L’USO DEI </w:t>
      </w:r>
      <w:r>
        <w:rPr>
          <w:i/>
        </w:rPr>
        <w:t>TEMPLATES</w:t>
      </w:r>
    </w:p>
    <w:p w14:paraId="00000003" w14:textId="77777777" w:rsidR="00CE7EBB" w:rsidRDefault="00132D4D">
      <w:pPr>
        <w:pStyle w:val="Titolo"/>
        <w:spacing w:after="240"/>
        <w:rPr>
          <w:b w:val="0"/>
          <w:i/>
          <w:sz w:val="24"/>
          <w:szCs w:val="24"/>
        </w:rPr>
      </w:pPr>
      <w:r>
        <w:rPr>
          <w:b w:val="0"/>
          <w:i/>
          <w:sz w:val="24"/>
          <w:szCs w:val="24"/>
        </w:rPr>
        <w:t>- funzione Stampa Unione -</w:t>
      </w:r>
    </w:p>
    <w:p w14:paraId="00000004" w14:textId="77777777" w:rsidR="00CE7EBB" w:rsidRDefault="00132D4D">
      <w:pPr>
        <w:pStyle w:val="Sottotitolo"/>
      </w:pPr>
      <w:r>
        <w:t xml:space="preserve">Templates validati dal tavolo regionale </w:t>
      </w:r>
      <w:proofErr w:type="spellStart"/>
      <w:r>
        <w:t>WikiSUAP</w:t>
      </w:r>
      <w:proofErr w:type="spellEnd"/>
    </w:p>
    <w:p w14:paraId="00000005" w14:textId="77777777" w:rsidR="00CE7EBB" w:rsidRDefault="00CE7EBB">
      <w:pPr>
        <w:pStyle w:val="Titolo"/>
      </w:pPr>
    </w:p>
    <w:p w14:paraId="00000006" w14:textId="77777777" w:rsidR="00CE7EBB" w:rsidRDefault="00CE7EBB"/>
    <w:p w14:paraId="00000007" w14:textId="77777777" w:rsidR="00CE7EBB" w:rsidRDefault="00132D4D">
      <w:pPr>
        <w:pStyle w:val="Titolo1"/>
      </w:pPr>
      <w:r>
        <w:t>SCOPO DEL DOCUMENTO</w:t>
      </w:r>
    </w:p>
    <w:p w14:paraId="00000008" w14:textId="77777777" w:rsidR="00CE7EBB" w:rsidRDefault="00132D4D">
      <w:r>
        <w:t xml:space="preserve">Il presente documento ha lo scopo di fornire alcune sintetiche istruzioni rispetto all’utilizzo corretto dei c.d. </w:t>
      </w:r>
      <w:r>
        <w:rPr>
          <w:i/>
        </w:rPr>
        <w:t>Templates</w:t>
      </w:r>
      <w:r>
        <w:t xml:space="preserve"> forniti in allegato, da caricare sulla Scrivania SUAP del portale </w:t>
      </w:r>
      <w:r>
        <w:rPr>
          <w:i/>
        </w:rPr>
        <w:t>impresainungiorno.gov.it</w:t>
      </w:r>
      <w:r>
        <w:t xml:space="preserve"> tramite l’apposita funzione presente nel menù di sinistra alla voce </w:t>
      </w:r>
      <w:r>
        <w:rPr>
          <w:i/>
        </w:rPr>
        <w:t>“Gestione template pratica”</w:t>
      </w:r>
      <w:r>
        <w:t>.</w:t>
      </w:r>
    </w:p>
    <w:p w14:paraId="00000009" w14:textId="5F05E326" w:rsidR="00CE7EBB" w:rsidRDefault="00132D4D">
      <w:r>
        <w:t xml:space="preserve">La “Gestione template pratica” è visibile solo a coloro che sono abilitati con il ruolo di </w:t>
      </w:r>
      <w:r>
        <w:rPr>
          <w:i/>
        </w:rPr>
        <w:t>“Responsabile”</w:t>
      </w:r>
      <w:r>
        <w:t xml:space="preserve"> (attivo di default per il Responsabile del SUAP ma che può essere attribuito anche ad altri operatori dalla voce “Gestione abilitazioni” nel menù di </w:t>
      </w:r>
      <w:r w:rsidR="0090306B">
        <w:t>sinistra</w:t>
      </w:r>
      <w:r>
        <w:t xml:space="preserve"> della Scrivania SUAP).</w:t>
      </w:r>
    </w:p>
    <w:p w14:paraId="0000000A" w14:textId="77777777" w:rsidR="00CE7EBB" w:rsidRDefault="00CE7EBB"/>
    <w:p w14:paraId="0000000B" w14:textId="77777777" w:rsidR="00CE7EBB" w:rsidRDefault="00132D4D">
      <w:pPr>
        <w:pStyle w:val="Titolo1"/>
      </w:pPr>
      <w:r>
        <w:t>PREMESSA</w:t>
      </w:r>
    </w:p>
    <w:p w14:paraId="0000000C" w14:textId="77777777" w:rsidR="00CE7EBB" w:rsidRDefault="00132D4D">
      <w:r>
        <w:t xml:space="preserve">Per </w:t>
      </w:r>
      <w:r>
        <w:rPr>
          <w:i/>
        </w:rPr>
        <w:t>Templates</w:t>
      </w:r>
      <w:r>
        <w:t xml:space="preserve"> si intendono modelli di atti in formato .</w:t>
      </w:r>
      <w:r>
        <w:rPr>
          <w:i/>
        </w:rPr>
        <w:t>docx</w:t>
      </w:r>
      <w:r>
        <w:t xml:space="preserve"> (creati tramite </w:t>
      </w:r>
      <w:r>
        <w:rPr>
          <w:i/>
        </w:rPr>
        <w:t>Microsoft Word)</w:t>
      </w:r>
      <w:r>
        <w:t xml:space="preserve"> precompilati con delle variabili che consentono di importarvi i dati di una pratica. Per ulteriori approfondimenti si invita a consultare il manuale della Scrivania SUAP per l’illustrazione della funzione “Stampa Unione” (pagine da 76 a 79) e per l’elenco esaustivo delle variabili disponibili (pagine da 121 a 130).</w:t>
      </w:r>
    </w:p>
    <w:p w14:paraId="0000000D" w14:textId="77777777" w:rsidR="00CE7EBB" w:rsidRDefault="00132D4D">
      <w:r>
        <w:t xml:space="preserve">I </w:t>
      </w:r>
      <w:r>
        <w:rPr>
          <w:i/>
        </w:rPr>
        <w:t>Templates</w:t>
      </w:r>
      <w:r>
        <w:t xml:space="preserve"> vengono forniti con un contenuto standardizzato che andrà personalizzato da ogni singolo SUAP a seconda delle fattispecie concrete.</w:t>
      </w:r>
    </w:p>
    <w:p w14:paraId="0000000E" w14:textId="77777777" w:rsidR="00CE7EBB" w:rsidRDefault="00132D4D">
      <w:r>
        <w:t xml:space="preserve">In questa prima fase vengono restituiti dei </w:t>
      </w:r>
      <w:r>
        <w:rPr>
          <w:i/>
        </w:rPr>
        <w:t>Templates</w:t>
      </w:r>
      <w:r>
        <w:t xml:space="preserve"> generici relativi a:</w:t>
      </w:r>
    </w:p>
    <w:p w14:paraId="0000000F" w14:textId="7E1C8A85" w:rsidR="00CE7EBB" w:rsidRDefault="00132D4D">
      <w:pPr>
        <w:numPr>
          <w:ilvl w:val="0"/>
          <w:numId w:val="2"/>
        </w:numPr>
        <w:pBdr>
          <w:top w:val="nil"/>
          <w:left w:val="nil"/>
          <w:bottom w:val="nil"/>
          <w:right w:val="nil"/>
          <w:between w:val="nil"/>
        </w:pBdr>
        <w:spacing w:after="0"/>
        <w:ind w:left="284" w:hanging="284"/>
      </w:pPr>
      <w:r w:rsidRPr="00AC4909">
        <w:rPr>
          <w:b/>
          <w:bCs/>
          <w:color w:val="000000"/>
        </w:rPr>
        <w:t>Irricevibilità</w:t>
      </w:r>
      <w:r w:rsidR="00AC4909">
        <w:rPr>
          <w:color w:val="000000"/>
        </w:rPr>
        <w:t xml:space="preserve"> (per tutti i tipi di pratiche: </w:t>
      </w:r>
      <w:r w:rsidR="00A95DBF">
        <w:rPr>
          <w:color w:val="000000"/>
        </w:rPr>
        <w:t>C</w:t>
      </w:r>
      <w:r w:rsidR="00AC4909">
        <w:rPr>
          <w:color w:val="000000"/>
        </w:rPr>
        <w:t xml:space="preserve">omunicazioni, SCIA, </w:t>
      </w:r>
      <w:r w:rsidR="00A95DBF">
        <w:rPr>
          <w:color w:val="000000"/>
        </w:rPr>
        <w:t>O</w:t>
      </w:r>
      <w:r w:rsidR="00AC4909">
        <w:rPr>
          <w:color w:val="000000"/>
        </w:rPr>
        <w:t>rdinari);</w:t>
      </w:r>
    </w:p>
    <w:p w14:paraId="00000010" w14:textId="7AF1EC9E" w:rsidR="00CE7EBB" w:rsidRPr="00BD5B45" w:rsidRDefault="00132D4D">
      <w:pPr>
        <w:numPr>
          <w:ilvl w:val="0"/>
          <w:numId w:val="2"/>
        </w:numPr>
        <w:pBdr>
          <w:top w:val="nil"/>
          <w:left w:val="nil"/>
          <w:bottom w:val="nil"/>
          <w:right w:val="nil"/>
          <w:between w:val="nil"/>
        </w:pBdr>
        <w:spacing w:after="0"/>
        <w:ind w:left="284" w:hanging="284"/>
      </w:pPr>
      <w:r w:rsidRPr="00AC4909">
        <w:rPr>
          <w:b/>
          <w:bCs/>
          <w:color w:val="000000"/>
        </w:rPr>
        <w:t>Richiesta di conformazione</w:t>
      </w:r>
      <w:r w:rsidR="00AC4909" w:rsidRPr="00AC4909">
        <w:rPr>
          <w:color w:val="000000"/>
        </w:rPr>
        <w:t xml:space="preserve"> (</w:t>
      </w:r>
      <w:r w:rsidR="00AC4909">
        <w:rPr>
          <w:color w:val="000000"/>
        </w:rPr>
        <w:t>per Comunicazioni e SCIA);</w:t>
      </w:r>
    </w:p>
    <w:p w14:paraId="2E0F7464" w14:textId="4665B0CD" w:rsidR="00BD5B45" w:rsidRDefault="00BD5B45">
      <w:pPr>
        <w:numPr>
          <w:ilvl w:val="0"/>
          <w:numId w:val="2"/>
        </w:numPr>
        <w:pBdr>
          <w:top w:val="nil"/>
          <w:left w:val="nil"/>
          <w:bottom w:val="nil"/>
          <w:right w:val="nil"/>
          <w:between w:val="nil"/>
        </w:pBdr>
        <w:spacing w:after="0"/>
        <w:ind w:left="284" w:hanging="284"/>
      </w:pPr>
      <w:r>
        <w:rPr>
          <w:b/>
          <w:bCs/>
          <w:color w:val="000000"/>
        </w:rPr>
        <w:t xml:space="preserve">Divieto di prosecuzione per mancata conformazione </w:t>
      </w:r>
      <w:r w:rsidRPr="0090306B">
        <w:rPr>
          <w:color w:val="000000"/>
        </w:rPr>
        <w:t>(per Comunicazioni e SCIA)</w:t>
      </w:r>
      <w:r w:rsidR="0090306B">
        <w:rPr>
          <w:color w:val="000000"/>
        </w:rPr>
        <w:t>;</w:t>
      </w:r>
    </w:p>
    <w:p w14:paraId="00000012" w14:textId="46FAF376" w:rsidR="00CE7EBB" w:rsidRPr="00AC4909" w:rsidRDefault="00132D4D" w:rsidP="00AC4909">
      <w:pPr>
        <w:numPr>
          <w:ilvl w:val="0"/>
          <w:numId w:val="2"/>
        </w:numPr>
        <w:pBdr>
          <w:top w:val="nil"/>
          <w:left w:val="nil"/>
          <w:bottom w:val="nil"/>
          <w:right w:val="nil"/>
          <w:between w:val="nil"/>
        </w:pBdr>
        <w:ind w:left="284" w:hanging="284"/>
      </w:pPr>
      <w:r w:rsidRPr="00AC4909">
        <w:rPr>
          <w:b/>
          <w:bCs/>
          <w:color w:val="000000"/>
        </w:rPr>
        <w:t>Divieto di prosecuzione</w:t>
      </w:r>
      <w:r w:rsidR="00AC4909" w:rsidRPr="00AC4909">
        <w:rPr>
          <w:b/>
          <w:bCs/>
          <w:color w:val="000000"/>
        </w:rPr>
        <w:t xml:space="preserve"> per attività non conformabile</w:t>
      </w:r>
      <w:r w:rsidR="00AC4909">
        <w:rPr>
          <w:color w:val="000000"/>
        </w:rPr>
        <w:t xml:space="preserve"> (per Comunicazioni e SCIA).</w:t>
      </w:r>
    </w:p>
    <w:p w14:paraId="1A6D0938" w14:textId="1FD79AC3" w:rsidR="00AC4909" w:rsidRDefault="00AC4909" w:rsidP="00AC4909">
      <w:pPr>
        <w:pBdr>
          <w:top w:val="nil"/>
          <w:left w:val="nil"/>
          <w:bottom w:val="nil"/>
          <w:right w:val="nil"/>
          <w:between w:val="nil"/>
        </w:pBdr>
      </w:pPr>
    </w:p>
    <w:p w14:paraId="009635CC" w14:textId="77777777" w:rsidR="00AC4909" w:rsidRPr="00AC4909" w:rsidRDefault="00AC4909" w:rsidP="00AC4909"/>
    <w:p w14:paraId="00000013" w14:textId="77777777" w:rsidR="00CE7EBB" w:rsidRDefault="00132D4D">
      <w:pPr>
        <w:pStyle w:val="Titolo1"/>
      </w:pPr>
      <w:r>
        <w:t>LEGENDA</w:t>
      </w:r>
    </w:p>
    <w:p w14:paraId="00000014" w14:textId="77777777" w:rsidR="00CE7EBB" w:rsidRDefault="00132D4D">
      <w:r>
        <w:t xml:space="preserve">Il format dei </w:t>
      </w:r>
      <w:r>
        <w:rPr>
          <w:i/>
        </w:rPr>
        <w:t>Templates</w:t>
      </w:r>
      <w:r>
        <w:t xml:space="preserve"> prevede:</w:t>
      </w:r>
    </w:p>
    <w:p w14:paraId="00000015" w14:textId="519FF323" w:rsidR="00CE7EBB" w:rsidRDefault="00132D4D">
      <w:pPr>
        <w:numPr>
          <w:ilvl w:val="0"/>
          <w:numId w:val="1"/>
        </w:numPr>
        <w:pBdr>
          <w:top w:val="nil"/>
          <w:left w:val="nil"/>
          <w:bottom w:val="nil"/>
          <w:right w:val="nil"/>
          <w:between w:val="nil"/>
        </w:pBdr>
        <w:ind w:left="284" w:hanging="284"/>
      </w:pPr>
      <w:r>
        <w:rPr>
          <w:b/>
          <w:color w:val="000000"/>
        </w:rPr>
        <w:t>Intestazione</w:t>
      </w:r>
      <w:r>
        <w:rPr>
          <w:color w:val="000000"/>
        </w:rPr>
        <w:t xml:space="preserve">: </w:t>
      </w:r>
      <w:r>
        <w:t xml:space="preserve">il LOGO è inserito automaticamente con la variabile </w:t>
      </w:r>
      <w:r>
        <w:rPr>
          <w:i/>
        </w:rPr>
        <w:t>${</w:t>
      </w:r>
      <w:proofErr w:type="spellStart"/>
      <w:r>
        <w:rPr>
          <w:i/>
        </w:rPr>
        <w:t>logoSportello</w:t>
      </w:r>
      <w:proofErr w:type="spellEnd"/>
      <w:r>
        <w:rPr>
          <w:i/>
        </w:rPr>
        <w:t>}</w:t>
      </w:r>
      <w:r>
        <w:t xml:space="preserve">. </w:t>
      </w:r>
      <w:r w:rsidRPr="00AC4909">
        <w:rPr>
          <w:b/>
          <w:bCs/>
        </w:rPr>
        <w:t xml:space="preserve">Per renderlo </w:t>
      </w:r>
      <w:r w:rsidR="00AC4909">
        <w:rPr>
          <w:b/>
          <w:bCs/>
        </w:rPr>
        <w:t xml:space="preserve">automaticamente </w:t>
      </w:r>
      <w:r w:rsidRPr="00AC4909">
        <w:rPr>
          <w:b/>
          <w:bCs/>
        </w:rPr>
        <w:t>visibile sarà necessario caricare il logo sulla Scrivania SUAP</w:t>
      </w:r>
      <w:r>
        <w:t xml:space="preserve">, cliccando la voce </w:t>
      </w:r>
      <w:r>
        <w:lastRenderedPageBreak/>
        <w:t>“Gestione immagini” nel menù di sinistra (la voce è visibile solo a coloro che sono abilitati come “responsabile”)</w:t>
      </w:r>
      <w:r w:rsidR="00A95DBF">
        <w:t>;</w:t>
      </w:r>
    </w:p>
    <w:p w14:paraId="00000016" w14:textId="698B66A5" w:rsidR="00CE7EBB" w:rsidRPr="00A95DBF" w:rsidRDefault="00132D4D">
      <w:pPr>
        <w:numPr>
          <w:ilvl w:val="0"/>
          <w:numId w:val="1"/>
        </w:numPr>
        <w:pBdr>
          <w:top w:val="nil"/>
          <w:left w:val="nil"/>
          <w:bottom w:val="nil"/>
          <w:right w:val="nil"/>
          <w:between w:val="nil"/>
        </w:pBdr>
        <w:ind w:left="284" w:hanging="284"/>
      </w:pPr>
      <w:r>
        <w:rPr>
          <w:b/>
          <w:color w:val="000000"/>
        </w:rPr>
        <w:t>Piè di pagina</w:t>
      </w:r>
      <w:r>
        <w:rPr>
          <w:color w:val="000000"/>
        </w:rPr>
        <w:t>: inserire eventuali recapiti del SUAP; sono stati inseriti dei campi standard ed è possibile personalizzarli o eliminarli a seconda delle specifiche esigenze;</w:t>
      </w:r>
    </w:p>
    <w:p w14:paraId="23EDBB55" w14:textId="32B2A1A2" w:rsidR="00A95DBF" w:rsidRPr="00A95DBF" w:rsidRDefault="00A95DBF">
      <w:pPr>
        <w:numPr>
          <w:ilvl w:val="0"/>
          <w:numId w:val="1"/>
        </w:numPr>
        <w:pBdr>
          <w:top w:val="nil"/>
          <w:left w:val="nil"/>
          <w:bottom w:val="nil"/>
          <w:right w:val="nil"/>
          <w:between w:val="nil"/>
        </w:pBdr>
        <w:ind w:left="284" w:hanging="284"/>
        <w:rPr>
          <w:color w:val="FF0000"/>
        </w:rPr>
      </w:pPr>
      <w:r w:rsidRPr="00A95DBF">
        <w:rPr>
          <w:bCs/>
          <w:color w:val="FF0000"/>
        </w:rPr>
        <w:t>Contenuti di colore rosso:</w:t>
      </w:r>
      <w:r>
        <w:rPr>
          <w:b/>
          <w:color w:val="FF0000"/>
        </w:rPr>
        <w:t xml:space="preserve"> </w:t>
      </w:r>
      <w:r>
        <w:rPr>
          <w:bCs/>
        </w:rPr>
        <w:t>suggerimenti/indicazioni rispetto alla compilazione di alcuni campi;</w:t>
      </w:r>
    </w:p>
    <w:p w14:paraId="00000017" w14:textId="77777777" w:rsidR="00CE7EBB" w:rsidRDefault="00132D4D">
      <w:pPr>
        <w:numPr>
          <w:ilvl w:val="0"/>
          <w:numId w:val="1"/>
        </w:numPr>
        <w:pBdr>
          <w:top w:val="nil"/>
          <w:left w:val="nil"/>
          <w:bottom w:val="nil"/>
          <w:right w:val="nil"/>
          <w:between w:val="nil"/>
        </w:pBdr>
        <w:ind w:left="284" w:hanging="284"/>
      </w:pPr>
      <w:r>
        <w:rPr>
          <w:b/>
          <w:color w:val="000000"/>
          <w:highlight w:val="yellow"/>
        </w:rPr>
        <w:t>Contenuti evidenziati in giallo</w:t>
      </w:r>
      <w:r>
        <w:rPr>
          <w:color w:val="000000"/>
        </w:rPr>
        <w:t>: devono essere standardizzati dal SUAP;</w:t>
      </w:r>
    </w:p>
    <w:p w14:paraId="00000018" w14:textId="586C3EF5" w:rsidR="00CE7EBB" w:rsidRPr="00AC4909" w:rsidRDefault="00132D4D">
      <w:pPr>
        <w:numPr>
          <w:ilvl w:val="0"/>
          <w:numId w:val="1"/>
        </w:numPr>
        <w:pBdr>
          <w:top w:val="nil"/>
          <w:left w:val="nil"/>
          <w:bottom w:val="nil"/>
          <w:right w:val="nil"/>
          <w:between w:val="nil"/>
        </w:pBdr>
        <w:ind w:left="284" w:hanging="284"/>
      </w:pPr>
      <w:r>
        <w:rPr>
          <w:b/>
          <w:color w:val="000000"/>
          <w:highlight w:val="cyan"/>
        </w:rPr>
        <w:t>Contenuti evidenziati in azzurro</w:t>
      </w:r>
      <w:r>
        <w:rPr>
          <w:color w:val="000000"/>
        </w:rPr>
        <w:t>: sono campi che vanno personalizzati di volta in volta a seconda della fattispecie del caso: potrebbe dover essere una sezione da compilare oppure una riga da eliminare perché non rilevante;</w:t>
      </w:r>
    </w:p>
    <w:p w14:paraId="4BB81EB6" w14:textId="77777777" w:rsidR="00AC4909" w:rsidRDefault="00AC4909" w:rsidP="00AC4909">
      <w:pPr>
        <w:pBdr>
          <w:top w:val="nil"/>
          <w:left w:val="nil"/>
          <w:bottom w:val="nil"/>
          <w:right w:val="nil"/>
          <w:between w:val="nil"/>
        </w:pBdr>
        <w:ind w:left="284"/>
      </w:pPr>
    </w:p>
    <w:p w14:paraId="00000019" w14:textId="77777777" w:rsidR="00CE7EBB" w:rsidRDefault="00132D4D">
      <w:pPr>
        <w:pStyle w:val="Titolo1"/>
      </w:pPr>
      <w:r>
        <w:t>ULTERIORI INFORMAZIONI E RACCOMANDAZIONI</w:t>
      </w:r>
    </w:p>
    <w:p w14:paraId="0000001A" w14:textId="77777777" w:rsidR="00CE7EBB" w:rsidRDefault="00132D4D">
      <w:r>
        <w:t xml:space="preserve">Si rendono di seguito note alcune peculiarità relative alla strutturazione dei </w:t>
      </w:r>
      <w:r>
        <w:rPr>
          <w:i/>
        </w:rPr>
        <w:t>Templates</w:t>
      </w:r>
      <w:r>
        <w:t>.</w:t>
      </w:r>
    </w:p>
    <w:p w14:paraId="0000001B" w14:textId="77777777" w:rsidR="00CE7EBB" w:rsidRDefault="00CE7EBB">
      <w:pPr>
        <w:pBdr>
          <w:top w:val="nil"/>
          <w:left w:val="nil"/>
          <w:bottom w:val="nil"/>
          <w:right w:val="nil"/>
          <w:between w:val="nil"/>
        </w:pBdr>
        <w:ind w:left="284"/>
        <w:jc w:val="center"/>
        <w:rPr>
          <w:color w:val="000000"/>
        </w:rPr>
      </w:pPr>
    </w:p>
    <w:p w14:paraId="0000001C" w14:textId="77777777" w:rsidR="00CE7EBB" w:rsidRDefault="00132D4D">
      <w:pPr>
        <w:pStyle w:val="Titolo2"/>
      </w:pPr>
      <w:r>
        <w:t>Nota 1</w:t>
      </w:r>
    </w:p>
    <w:p w14:paraId="0000001D" w14:textId="77777777" w:rsidR="00CE7EBB" w:rsidRDefault="00132D4D">
      <w:pPr>
        <w:pBdr>
          <w:top w:val="nil"/>
          <w:left w:val="nil"/>
          <w:bottom w:val="nil"/>
          <w:right w:val="nil"/>
          <w:between w:val="nil"/>
        </w:pBdr>
        <w:spacing w:after="120"/>
        <w:rPr>
          <w:color w:val="000000"/>
        </w:rPr>
      </w:pPr>
      <w:r>
        <w:rPr>
          <w:color w:val="000000"/>
        </w:rPr>
        <w:t xml:space="preserve">Nel primo </w:t>
      </w:r>
      <w:r>
        <w:t xml:space="preserve">paragrafo </w:t>
      </w:r>
      <w:r>
        <w:rPr>
          <w:color w:val="000000"/>
        </w:rPr>
        <w:t xml:space="preserve">dei </w:t>
      </w:r>
      <w:r>
        <w:rPr>
          <w:i/>
          <w:color w:val="000000"/>
        </w:rPr>
        <w:t>Templates</w:t>
      </w:r>
      <w:r>
        <w:rPr>
          <w:i/>
        </w:rPr>
        <w:t xml:space="preserve"> </w:t>
      </w:r>
      <w:r>
        <w:rPr>
          <w:color w:val="000000"/>
        </w:rPr>
        <w:t>dopo la scritta “IL RESPONSABILE DELLO SPORTELLO UNICO ATTIVITÀ PRODUTTIVE” viene riportata la seguente dicitura:</w:t>
      </w:r>
    </w:p>
    <w:p w14:paraId="0000001E" w14:textId="77777777" w:rsidR="00CE7EBB" w:rsidRDefault="00132D4D">
      <w:pPr>
        <w:pBdr>
          <w:top w:val="nil"/>
          <w:left w:val="nil"/>
          <w:bottom w:val="nil"/>
          <w:right w:val="nil"/>
          <w:between w:val="nil"/>
        </w:pBdr>
        <w:spacing w:after="0"/>
        <w:ind w:left="283"/>
        <w:jc w:val="left"/>
        <w:rPr>
          <w:sz w:val="20"/>
          <w:szCs w:val="20"/>
        </w:rPr>
      </w:pPr>
      <w:r>
        <w:rPr>
          <w:sz w:val="20"/>
          <w:szCs w:val="20"/>
        </w:rPr>
        <w:t>[...] che contiene i seguenti procedimenti:</w:t>
      </w:r>
    </w:p>
    <w:p w14:paraId="0000001F" w14:textId="77777777" w:rsidR="00CE7EBB" w:rsidRPr="002E0311" w:rsidRDefault="00132D4D">
      <w:pPr>
        <w:pBdr>
          <w:top w:val="nil"/>
          <w:left w:val="nil"/>
          <w:bottom w:val="nil"/>
          <w:right w:val="nil"/>
          <w:between w:val="nil"/>
        </w:pBdr>
        <w:spacing w:after="0"/>
        <w:ind w:left="283"/>
        <w:jc w:val="left"/>
        <w:rPr>
          <w:sz w:val="20"/>
          <w:szCs w:val="20"/>
          <w:highlight w:val="cyan"/>
        </w:rPr>
      </w:pPr>
      <w:r w:rsidRPr="002E0311">
        <w:rPr>
          <w:sz w:val="20"/>
          <w:szCs w:val="20"/>
          <w:highlight w:val="cyan"/>
        </w:rPr>
        <w:t>${</w:t>
      </w:r>
      <w:proofErr w:type="spellStart"/>
      <w:r w:rsidRPr="002E0311">
        <w:rPr>
          <w:sz w:val="20"/>
          <w:szCs w:val="20"/>
          <w:highlight w:val="cyan"/>
        </w:rPr>
        <w:t>datiProcedimento</w:t>
      </w:r>
      <w:proofErr w:type="spellEnd"/>
      <w:r w:rsidRPr="002E0311">
        <w:rPr>
          <w:sz w:val="20"/>
          <w:szCs w:val="20"/>
          <w:highlight w:val="cyan"/>
        </w:rPr>
        <w:t>[0].titolo}</w:t>
      </w:r>
    </w:p>
    <w:p w14:paraId="00000020" w14:textId="77777777" w:rsidR="00CE7EBB" w:rsidRPr="002E0311" w:rsidRDefault="00132D4D">
      <w:pPr>
        <w:pBdr>
          <w:top w:val="nil"/>
          <w:left w:val="nil"/>
          <w:bottom w:val="nil"/>
          <w:right w:val="nil"/>
          <w:between w:val="nil"/>
        </w:pBdr>
        <w:spacing w:after="0"/>
        <w:ind w:left="283"/>
        <w:jc w:val="left"/>
        <w:rPr>
          <w:sz w:val="20"/>
          <w:szCs w:val="20"/>
          <w:highlight w:val="cyan"/>
        </w:rPr>
      </w:pPr>
      <w:r w:rsidRPr="002E0311">
        <w:rPr>
          <w:sz w:val="20"/>
          <w:szCs w:val="20"/>
          <w:highlight w:val="cyan"/>
        </w:rPr>
        <w:t>${</w:t>
      </w:r>
      <w:proofErr w:type="spellStart"/>
      <w:r w:rsidRPr="002E0311">
        <w:rPr>
          <w:sz w:val="20"/>
          <w:szCs w:val="20"/>
          <w:highlight w:val="cyan"/>
        </w:rPr>
        <w:t>datiProcedimento</w:t>
      </w:r>
      <w:proofErr w:type="spellEnd"/>
      <w:r w:rsidRPr="002E0311">
        <w:rPr>
          <w:sz w:val="20"/>
          <w:szCs w:val="20"/>
          <w:highlight w:val="cyan"/>
        </w:rPr>
        <w:t>[1].titolo}</w:t>
      </w:r>
    </w:p>
    <w:p w14:paraId="00000021" w14:textId="77777777" w:rsidR="00CE7EBB" w:rsidRPr="002E0311" w:rsidRDefault="00132D4D">
      <w:pPr>
        <w:pBdr>
          <w:top w:val="nil"/>
          <w:left w:val="nil"/>
          <w:bottom w:val="nil"/>
          <w:right w:val="nil"/>
          <w:between w:val="nil"/>
        </w:pBdr>
        <w:spacing w:after="0"/>
        <w:ind w:left="283"/>
        <w:jc w:val="left"/>
        <w:rPr>
          <w:sz w:val="20"/>
          <w:szCs w:val="20"/>
          <w:highlight w:val="cyan"/>
        </w:rPr>
      </w:pPr>
      <w:r w:rsidRPr="002E0311">
        <w:rPr>
          <w:sz w:val="20"/>
          <w:szCs w:val="20"/>
          <w:highlight w:val="cyan"/>
        </w:rPr>
        <w:t>${</w:t>
      </w:r>
      <w:proofErr w:type="spellStart"/>
      <w:r w:rsidRPr="002E0311">
        <w:rPr>
          <w:sz w:val="20"/>
          <w:szCs w:val="20"/>
          <w:highlight w:val="cyan"/>
        </w:rPr>
        <w:t>datiProcedimento</w:t>
      </w:r>
      <w:proofErr w:type="spellEnd"/>
      <w:r w:rsidRPr="002E0311">
        <w:rPr>
          <w:sz w:val="20"/>
          <w:szCs w:val="20"/>
          <w:highlight w:val="cyan"/>
        </w:rPr>
        <w:t>[2].titolo}</w:t>
      </w:r>
    </w:p>
    <w:p w14:paraId="00000022" w14:textId="77777777" w:rsidR="00CE7EBB" w:rsidRPr="002E0311" w:rsidRDefault="00132D4D">
      <w:pPr>
        <w:pBdr>
          <w:top w:val="nil"/>
          <w:left w:val="nil"/>
          <w:bottom w:val="nil"/>
          <w:right w:val="nil"/>
          <w:between w:val="nil"/>
        </w:pBdr>
        <w:spacing w:after="0"/>
        <w:ind w:left="283"/>
        <w:jc w:val="left"/>
        <w:rPr>
          <w:sz w:val="20"/>
          <w:szCs w:val="20"/>
          <w:highlight w:val="cyan"/>
        </w:rPr>
      </w:pPr>
      <w:r w:rsidRPr="002E0311">
        <w:rPr>
          <w:sz w:val="20"/>
          <w:szCs w:val="20"/>
          <w:highlight w:val="cyan"/>
        </w:rPr>
        <w:t>${</w:t>
      </w:r>
      <w:proofErr w:type="spellStart"/>
      <w:r w:rsidRPr="002E0311">
        <w:rPr>
          <w:sz w:val="20"/>
          <w:szCs w:val="20"/>
          <w:highlight w:val="cyan"/>
        </w:rPr>
        <w:t>datiProcedimento</w:t>
      </w:r>
      <w:proofErr w:type="spellEnd"/>
      <w:r w:rsidRPr="002E0311">
        <w:rPr>
          <w:sz w:val="20"/>
          <w:szCs w:val="20"/>
          <w:highlight w:val="cyan"/>
        </w:rPr>
        <w:t>[3].titolo}</w:t>
      </w:r>
    </w:p>
    <w:p w14:paraId="00000023" w14:textId="77777777" w:rsidR="00CE7EBB" w:rsidRDefault="00132D4D">
      <w:pPr>
        <w:pBdr>
          <w:top w:val="nil"/>
          <w:left w:val="nil"/>
          <w:bottom w:val="nil"/>
          <w:right w:val="nil"/>
          <w:between w:val="nil"/>
        </w:pBdr>
        <w:spacing w:after="0"/>
        <w:ind w:left="283"/>
        <w:jc w:val="left"/>
        <w:rPr>
          <w:sz w:val="20"/>
          <w:szCs w:val="20"/>
        </w:rPr>
      </w:pPr>
      <w:r w:rsidRPr="002E0311">
        <w:rPr>
          <w:sz w:val="20"/>
          <w:szCs w:val="20"/>
          <w:highlight w:val="cyan"/>
        </w:rPr>
        <w:t>${</w:t>
      </w:r>
      <w:proofErr w:type="spellStart"/>
      <w:r w:rsidRPr="002E0311">
        <w:rPr>
          <w:sz w:val="20"/>
          <w:szCs w:val="20"/>
          <w:highlight w:val="cyan"/>
        </w:rPr>
        <w:t>datiProcedimento</w:t>
      </w:r>
      <w:proofErr w:type="spellEnd"/>
      <w:r w:rsidRPr="002E0311">
        <w:rPr>
          <w:sz w:val="20"/>
          <w:szCs w:val="20"/>
          <w:highlight w:val="cyan"/>
        </w:rPr>
        <w:t>[4].titolo},</w:t>
      </w:r>
    </w:p>
    <w:p w14:paraId="00000024" w14:textId="77777777" w:rsidR="00CE7EBB" w:rsidRDefault="00CE7EBB">
      <w:pPr>
        <w:pBdr>
          <w:top w:val="nil"/>
          <w:left w:val="nil"/>
          <w:bottom w:val="nil"/>
          <w:right w:val="nil"/>
          <w:between w:val="nil"/>
        </w:pBdr>
        <w:spacing w:after="0"/>
        <w:ind w:left="283"/>
        <w:jc w:val="left"/>
        <w:rPr>
          <w:sz w:val="20"/>
          <w:szCs w:val="20"/>
        </w:rPr>
      </w:pPr>
    </w:p>
    <w:p w14:paraId="4BB2C9BD" w14:textId="38AF4588" w:rsidR="00A95DBF" w:rsidRPr="00A95DBF" w:rsidRDefault="00132D4D">
      <w:pPr>
        <w:pBdr>
          <w:top w:val="nil"/>
          <w:left w:val="nil"/>
          <w:bottom w:val="nil"/>
          <w:right w:val="nil"/>
          <w:between w:val="nil"/>
        </w:pBdr>
        <w:spacing w:after="0"/>
      </w:pPr>
      <w:r>
        <w:rPr>
          <w:color w:val="000000"/>
        </w:rPr>
        <w:t xml:space="preserve">Tale dicitura riporterà il titolo dei primi </w:t>
      </w:r>
      <w:r w:rsidR="00A95DBF">
        <w:rPr>
          <w:b/>
          <w:color w:val="000000"/>
        </w:rPr>
        <w:t>CINQUE</w:t>
      </w:r>
      <w:r>
        <w:rPr>
          <w:color w:val="000000"/>
        </w:rPr>
        <w:t xml:space="preserve"> endoprocedimenti della pratica SUAP. È possibile ridurli o aumentarli; se nella pratica ci fossero meno endoprocedimenti di quelli preimpostati nel </w:t>
      </w:r>
      <w:r>
        <w:rPr>
          <w:i/>
          <w:color w:val="000000"/>
        </w:rPr>
        <w:t>Template</w:t>
      </w:r>
      <w:r>
        <w:rPr>
          <w:color w:val="000000"/>
        </w:rPr>
        <w:t xml:space="preserve">, il sistema restituirà </w:t>
      </w:r>
      <w:r>
        <w:t>un trattino per ogni endoprocedimento mancante e che è possibile rimuovere manualmente.</w:t>
      </w:r>
      <w:r w:rsidR="00A95DBF">
        <w:t xml:space="preserve"> È possibile aggiungere più endoprocedimenti a discrezione del SUAP o a seconda della pratica semplicemente copiando e incollando la stringa di cui sopra variando progressivamente il numero tra le parentesi quadre.</w:t>
      </w:r>
    </w:p>
    <w:p w14:paraId="00000026" w14:textId="77777777" w:rsidR="00CE7EBB" w:rsidRDefault="00CE7EBB">
      <w:pPr>
        <w:pBdr>
          <w:top w:val="nil"/>
          <w:left w:val="nil"/>
          <w:bottom w:val="nil"/>
          <w:right w:val="nil"/>
          <w:between w:val="nil"/>
        </w:pBdr>
        <w:rPr>
          <w:color w:val="000000"/>
        </w:rPr>
      </w:pPr>
    </w:p>
    <w:p w14:paraId="00000027" w14:textId="77777777" w:rsidR="00CE7EBB" w:rsidRDefault="00132D4D">
      <w:pPr>
        <w:pStyle w:val="Titolo2"/>
        <w:rPr>
          <w:rFonts w:ascii="Titillium Web" w:hAnsi="Titillium Web"/>
        </w:rPr>
      </w:pPr>
      <w:r>
        <w:t>Nota 2</w:t>
      </w:r>
    </w:p>
    <w:p w14:paraId="0000002A" w14:textId="003F700B" w:rsidR="00CE7EBB" w:rsidRDefault="00132D4D">
      <w:r>
        <w:t xml:space="preserve">Nel </w:t>
      </w:r>
      <w:r>
        <w:rPr>
          <w:i/>
        </w:rPr>
        <w:t xml:space="preserve">Template </w:t>
      </w:r>
      <w:r>
        <w:t xml:space="preserve">denominato </w:t>
      </w:r>
      <w:r>
        <w:rPr>
          <w:i/>
        </w:rPr>
        <w:t>“</w:t>
      </w:r>
      <w:r w:rsidR="002E0311">
        <w:rPr>
          <w:i/>
        </w:rPr>
        <w:t>Irricevibilità”</w:t>
      </w:r>
      <w:r w:rsidR="002E0311">
        <w:t xml:space="preserve"> è</w:t>
      </w:r>
      <w:r>
        <w:t xml:space="preserve"> indicato un punto elenco delle possibili motivazioni di irricevibilità. Sono state preimpostate delle caselle di controllo che possono essere cliccate, apponendo così una “X” in corrispondenza della fattispecie causa dell’irricevibilità. In alternativa è possibile lasciare solo le condizioni che causano l’irricevibilità, eliminando le altre.</w:t>
      </w:r>
    </w:p>
    <w:p w14:paraId="1CB9FFCF" w14:textId="1E4ADC33" w:rsidR="00A95DBF" w:rsidRDefault="00A95DBF" w:rsidP="00A95DBF">
      <w:pPr>
        <w:pStyle w:val="Titolo2"/>
      </w:pPr>
      <w:r>
        <w:lastRenderedPageBreak/>
        <w:t>Nota 3 – Denominazione SUAP e Responsabile SUAP</w:t>
      </w:r>
    </w:p>
    <w:p w14:paraId="5E04B668" w14:textId="5577CF39" w:rsidR="00A95DBF" w:rsidRDefault="00A95DBF" w:rsidP="00A95DBF">
      <w:r>
        <w:t xml:space="preserve">La variabile </w:t>
      </w:r>
      <w:r w:rsidRPr="00A95DBF">
        <w:rPr>
          <w:i/>
          <w:iCs/>
        </w:rPr>
        <w:t>${</w:t>
      </w:r>
      <w:proofErr w:type="spellStart"/>
      <w:r w:rsidRPr="00A95DBF">
        <w:rPr>
          <w:i/>
          <w:iCs/>
        </w:rPr>
        <w:t>datiSportello.denominazioneSportello</w:t>
      </w:r>
      <w:proofErr w:type="spellEnd"/>
      <w:r w:rsidRPr="00A95DBF">
        <w:rPr>
          <w:i/>
          <w:iCs/>
        </w:rPr>
        <w:t>}</w:t>
      </w:r>
      <w:r>
        <w:t xml:space="preserve"> riporta sul file la denominazione del SUAP riportata sul portale </w:t>
      </w:r>
      <w:hyperlink r:id="rId8" w:history="1">
        <w:r w:rsidR="00DD59E8">
          <w:rPr>
            <w:rStyle w:val="Collegamentoipertestuale"/>
          </w:rPr>
          <w:t>impresainungiorno.gov.it</w:t>
        </w:r>
      </w:hyperlink>
      <w:r w:rsidR="00DD59E8">
        <w:t>.</w:t>
      </w:r>
    </w:p>
    <w:p w14:paraId="17972671" w14:textId="7055930C" w:rsidR="00A95DBF" w:rsidRDefault="00A95DBF" w:rsidP="00A95DBF">
      <w:r>
        <w:t xml:space="preserve">Le variabili </w:t>
      </w:r>
      <w:r w:rsidRPr="00A95DBF">
        <w:rPr>
          <w:i/>
          <w:iCs/>
        </w:rPr>
        <w:t>${</w:t>
      </w:r>
      <w:proofErr w:type="spellStart"/>
      <w:r w:rsidRPr="00A95DBF">
        <w:rPr>
          <w:i/>
          <w:iCs/>
        </w:rPr>
        <w:t>datiSportello.responsabile.nome</w:t>
      </w:r>
      <w:proofErr w:type="spellEnd"/>
      <w:r w:rsidRPr="00A95DBF">
        <w:rPr>
          <w:i/>
          <w:iCs/>
        </w:rPr>
        <w:t>}</w:t>
      </w:r>
      <w:r w:rsidRPr="00A95DBF">
        <w:t xml:space="preserve"> </w:t>
      </w:r>
      <w:r>
        <w:t xml:space="preserve">e </w:t>
      </w:r>
      <w:r w:rsidRPr="00A95DBF">
        <w:rPr>
          <w:i/>
          <w:iCs/>
        </w:rPr>
        <w:t>${</w:t>
      </w:r>
      <w:proofErr w:type="spellStart"/>
      <w:r w:rsidRPr="00A95DBF">
        <w:rPr>
          <w:i/>
          <w:iCs/>
        </w:rPr>
        <w:t>datiSportello.responsabile.cognome</w:t>
      </w:r>
      <w:proofErr w:type="spellEnd"/>
      <w:r w:rsidRPr="00A95DBF">
        <w:rPr>
          <w:i/>
          <w:iCs/>
        </w:rPr>
        <w:t>}</w:t>
      </w:r>
      <w:r>
        <w:t xml:space="preserve"> riportano il nominativo del Responsabile del SUAP indicato sul portale </w:t>
      </w:r>
      <w:hyperlink r:id="rId9" w:history="1">
        <w:r w:rsidRPr="00DD59E8">
          <w:rPr>
            <w:rStyle w:val="Collegamentoipertestuale"/>
          </w:rPr>
          <w:t>impresainungiorno.gov.it</w:t>
        </w:r>
      </w:hyperlink>
      <w:r>
        <w:t>.</w:t>
      </w:r>
    </w:p>
    <w:p w14:paraId="18C584EA" w14:textId="29091156" w:rsidR="00DD59E8" w:rsidRDefault="00DD59E8" w:rsidP="00A95DBF">
      <w:r>
        <w:t xml:space="preserve">Nel caso sul portale impresainungiorno.gov.it dovessero essere indicati dei dati non corretti, si invita a procedere alla correzione come previsto dal D.P.R. n. 160/2010. Per procedere alla correzione, il Responsabile del SUAP o il c.d. Presentatore dovranno recarsi alla pagina di </w:t>
      </w:r>
      <w:hyperlink r:id="rId10" w:anchor=":~:text=I%20Comuni%20che%20hanno%20gi%C3%A0,.impresainungiorno.gov.it." w:history="1">
        <w:r w:rsidRPr="00DD59E8">
          <w:rPr>
            <w:rStyle w:val="Collegamentoipertestuale"/>
          </w:rPr>
          <w:t>Attestazione requisiti SUAP</w:t>
        </w:r>
      </w:hyperlink>
      <w:r>
        <w:t xml:space="preserve"> e cliccare sulla seguente immagine:</w:t>
      </w:r>
    </w:p>
    <w:p w14:paraId="10FD3342" w14:textId="40A48A9E" w:rsidR="00DD59E8" w:rsidRDefault="00DD59E8" w:rsidP="00A95DBF">
      <w:r>
        <w:rPr>
          <w:noProof/>
        </w:rPr>
        <w:drawing>
          <wp:anchor distT="0" distB="0" distL="114300" distR="114300" simplePos="0" relativeHeight="251658240" behindDoc="1" locked="0" layoutInCell="1" allowOverlap="1" wp14:anchorId="221DECDE" wp14:editId="02ACF7A1">
            <wp:simplePos x="0" y="0"/>
            <wp:positionH relativeFrom="column">
              <wp:posOffset>3479</wp:posOffset>
            </wp:positionH>
            <wp:positionV relativeFrom="paragraph">
              <wp:posOffset>1960</wp:posOffset>
            </wp:positionV>
            <wp:extent cx="2258060" cy="962025"/>
            <wp:effectExtent l="19050" t="19050" r="27940" b="28575"/>
            <wp:wrapTight wrapText="bothSides">
              <wp:wrapPolygon edited="0">
                <wp:start x="-182" y="-428"/>
                <wp:lineTo x="-182" y="21814"/>
                <wp:lineTo x="21685" y="21814"/>
                <wp:lineTo x="21685" y="-428"/>
                <wp:lineTo x="-182" y="-428"/>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8060" cy="962025"/>
                    </a:xfrm>
                    <a:prstGeom prst="rect">
                      <a:avLst/>
                    </a:prstGeom>
                    <a:noFill/>
                    <a:ln>
                      <a:solidFill>
                        <a:schemeClr val="bg1">
                          <a:lumMod val="85000"/>
                        </a:schemeClr>
                      </a:solidFill>
                    </a:ln>
                  </pic:spPr>
                </pic:pic>
              </a:graphicData>
            </a:graphic>
          </wp:anchor>
        </w:drawing>
      </w:r>
      <w:r>
        <w:t xml:space="preserve">Sarà quindi possibile </w:t>
      </w:r>
      <w:r w:rsidR="00275B38">
        <w:t>cliccare su “Modifica Dati SUAP”, selezionare il SUAP di interesse, modificare i dati di interesse, procedere a generare il file PDF, scaricarlo, firmarlo digitalmente, ricaricarlo e inviarlo.</w:t>
      </w:r>
    </w:p>
    <w:p w14:paraId="0366B2E9" w14:textId="15EA4128" w:rsidR="00275B38" w:rsidRDefault="00275B38" w:rsidP="00A95DBF"/>
    <w:p w14:paraId="56D24AF6" w14:textId="460C0E6E" w:rsidR="00275B38" w:rsidRPr="000B6130" w:rsidRDefault="000B6130" w:rsidP="00A95DBF">
      <w:pPr>
        <w:rPr>
          <w:i/>
          <w:iCs/>
        </w:rPr>
      </w:pPr>
      <w:proofErr w:type="spellStart"/>
      <w:r w:rsidRPr="000B6130">
        <w:rPr>
          <w:i/>
          <w:iCs/>
        </w:rPr>
        <w:t>n.b.</w:t>
      </w:r>
      <w:proofErr w:type="spellEnd"/>
      <w:r w:rsidRPr="000B6130">
        <w:rPr>
          <w:i/>
          <w:iCs/>
        </w:rPr>
        <w:t xml:space="preserve"> sul canale </w:t>
      </w:r>
      <w:hyperlink r:id="rId12" w:history="1">
        <w:proofErr w:type="spellStart"/>
        <w:r w:rsidRPr="000B6130">
          <w:rPr>
            <w:rStyle w:val="Collegamentoipertestuale"/>
            <w:i/>
            <w:iCs/>
          </w:rPr>
          <w:t>You</w:t>
        </w:r>
        <w:proofErr w:type="spellEnd"/>
        <w:r w:rsidRPr="000B6130">
          <w:rPr>
            <w:rStyle w:val="Collegamentoipertestuale"/>
            <w:i/>
            <w:iCs/>
          </w:rPr>
          <w:t xml:space="preserve"> Tube di Unioncamere Lombardia</w:t>
        </w:r>
      </w:hyperlink>
      <w:r w:rsidRPr="000B6130">
        <w:rPr>
          <w:i/>
          <w:iCs/>
        </w:rPr>
        <w:t xml:space="preserve"> è disponibile una pillola formativa dove sono indicati </w:t>
      </w:r>
      <w:r>
        <w:rPr>
          <w:i/>
          <w:iCs/>
        </w:rPr>
        <w:t>i</w:t>
      </w:r>
      <w:r w:rsidRPr="000B6130">
        <w:rPr>
          <w:i/>
          <w:iCs/>
        </w:rPr>
        <w:t xml:space="preserve"> passaggi per la modifica del </w:t>
      </w:r>
      <w:r>
        <w:rPr>
          <w:i/>
          <w:iCs/>
        </w:rPr>
        <w:t>R</w:t>
      </w:r>
      <w:r w:rsidRPr="000B6130">
        <w:rPr>
          <w:i/>
          <w:iCs/>
        </w:rPr>
        <w:t>esponsabile SUAP.</w:t>
      </w:r>
    </w:p>
    <w:sectPr w:rsidR="00275B38" w:rsidRPr="000B6130">
      <w:footerReference w:type="default" r:id="rId13"/>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C6445" w14:textId="77777777" w:rsidR="00BD74EC" w:rsidRDefault="00BD74EC">
      <w:pPr>
        <w:spacing w:after="0" w:line="240" w:lineRule="auto"/>
      </w:pPr>
      <w:r>
        <w:separator/>
      </w:r>
    </w:p>
  </w:endnote>
  <w:endnote w:type="continuationSeparator" w:id="0">
    <w:p w14:paraId="360E286C" w14:textId="77777777" w:rsidR="00BD74EC" w:rsidRDefault="00BD7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tillium Web">
    <w:panose1 w:val="00000500000000000000"/>
    <w:charset w:val="00"/>
    <w:family w:val="auto"/>
    <w:pitch w:val="variable"/>
    <w:sig w:usb0="00000007" w:usb1="00000001" w:usb2="00000000" w:usb3="00000000" w:csb0="00000093"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Roboto">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B" w14:textId="77777777" w:rsidR="00CE7EBB" w:rsidRDefault="00132D4D">
    <w:pPr>
      <w:pBdr>
        <w:top w:val="nil"/>
        <w:left w:val="nil"/>
        <w:bottom w:val="nil"/>
        <w:right w:val="nil"/>
        <w:between w:val="nil"/>
      </w:pBdr>
      <w:tabs>
        <w:tab w:val="center" w:pos="4819"/>
        <w:tab w:val="right" w:pos="9638"/>
      </w:tabs>
      <w:spacing w:after="0" w:line="240" w:lineRule="auto"/>
      <w:jc w:val="center"/>
      <w:rPr>
        <w:color w:val="000000"/>
      </w:rPr>
    </w:pPr>
    <w:r>
      <w:rPr>
        <w:color w:val="000000"/>
      </w:rPr>
      <w:t>Servizio Impresa Lombardia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043CE" w14:textId="77777777" w:rsidR="00BD74EC" w:rsidRDefault="00BD74EC">
      <w:pPr>
        <w:spacing w:after="0" w:line="240" w:lineRule="auto"/>
      </w:pPr>
      <w:r>
        <w:separator/>
      </w:r>
    </w:p>
  </w:footnote>
  <w:footnote w:type="continuationSeparator" w:id="0">
    <w:p w14:paraId="74B0BA50" w14:textId="77777777" w:rsidR="00BD74EC" w:rsidRDefault="00BD7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395ED3"/>
    <w:multiLevelType w:val="multilevel"/>
    <w:tmpl w:val="2B00057C"/>
    <w:lvl w:ilvl="0">
      <w:numFmt w:val="bullet"/>
      <w:lvlText w:val="-"/>
      <w:lvlJc w:val="left"/>
      <w:pPr>
        <w:ind w:left="720" w:hanging="360"/>
      </w:pPr>
      <w:rPr>
        <w:rFonts w:ascii="Titillium Web" w:eastAsia="Titillium Web" w:hAnsi="Titillium Web" w:cs="Titillium We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8AD69F8"/>
    <w:multiLevelType w:val="multilevel"/>
    <w:tmpl w:val="2738D2D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88948036">
    <w:abstractNumId w:val="0"/>
  </w:num>
  <w:num w:numId="2" w16cid:durableId="17297606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EBB"/>
    <w:rsid w:val="000B6130"/>
    <w:rsid w:val="00132D4D"/>
    <w:rsid w:val="00275B38"/>
    <w:rsid w:val="002E0311"/>
    <w:rsid w:val="0090306B"/>
    <w:rsid w:val="00A95DBF"/>
    <w:rsid w:val="00AC4909"/>
    <w:rsid w:val="00BD5B45"/>
    <w:rsid w:val="00BD74EC"/>
    <w:rsid w:val="00CD1A0E"/>
    <w:rsid w:val="00CE7EBB"/>
    <w:rsid w:val="00DD59E8"/>
    <w:rsid w:val="00F107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AC7AB"/>
  <w15:docId w15:val="{E2226D0A-691B-4F95-B723-F7FBF20A1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tillium Web" w:eastAsia="Titillium Web" w:hAnsi="Titillium Web" w:cs="Titillium Web"/>
        <w:sz w:val="22"/>
        <w:szCs w:val="22"/>
        <w:lang w:val="it-IT" w:eastAsia="it-IT"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438A3"/>
  </w:style>
  <w:style w:type="paragraph" w:styleId="Titolo1">
    <w:name w:val="heading 1"/>
    <w:basedOn w:val="Normale"/>
    <w:next w:val="Normale"/>
    <w:link w:val="Titolo1Carattere"/>
    <w:uiPriority w:val="9"/>
    <w:qFormat/>
    <w:rsid w:val="004B2D19"/>
    <w:pPr>
      <w:outlineLvl w:val="0"/>
    </w:pPr>
    <w:rPr>
      <w:rFonts w:ascii="Roboto" w:hAnsi="Roboto"/>
      <w:b/>
      <w:bCs/>
      <w:color w:val="0066CC"/>
      <w:sz w:val="24"/>
      <w:szCs w:val="24"/>
    </w:rPr>
  </w:style>
  <w:style w:type="paragraph" w:styleId="Titolo2">
    <w:name w:val="heading 2"/>
    <w:basedOn w:val="Normale"/>
    <w:next w:val="Normale"/>
    <w:link w:val="Titolo2Carattere"/>
    <w:uiPriority w:val="9"/>
    <w:unhideWhenUsed/>
    <w:qFormat/>
    <w:rsid w:val="009E1559"/>
    <w:pPr>
      <w:outlineLvl w:val="1"/>
    </w:pPr>
    <w:rPr>
      <w:rFonts w:ascii="Roboto" w:hAnsi="Roboto"/>
      <w:b/>
      <w:bCs/>
      <w:u w:val="single"/>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4B2D19"/>
    <w:pPr>
      <w:shd w:val="clear" w:color="auto" w:fill="0066CC"/>
      <w:jc w:val="center"/>
    </w:pPr>
    <w:rPr>
      <w:rFonts w:ascii="Roboto" w:hAnsi="Roboto"/>
      <w:b/>
      <w:bCs/>
      <w:color w:val="FFFFFF" w:themeColor="background1"/>
      <w:sz w:val="28"/>
      <w:szCs w:val="28"/>
    </w:rPr>
  </w:style>
  <w:style w:type="character" w:customStyle="1" w:styleId="Titolo1Carattere">
    <w:name w:val="Titolo 1 Carattere"/>
    <w:basedOn w:val="Carpredefinitoparagrafo"/>
    <w:link w:val="Titolo1"/>
    <w:uiPriority w:val="9"/>
    <w:rsid w:val="004B2D19"/>
    <w:rPr>
      <w:rFonts w:ascii="Roboto" w:hAnsi="Roboto"/>
      <w:b/>
      <w:bCs/>
      <w:color w:val="0066CC"/>
      <w:sz w:val="24"/>
      <w:szCs w:val="24"/>
    </w:rPr>
  </w:style>
  <w:style w:type="character" w:customStyle="1" w:styleId="TitoloCarattere">
    <w:name w:val="Titolo Carattere"/>
    <w:basedOn w:val="Carpredefinitoparagrafo"/>
    <w:link w:val="Titolo"/>
    <w:uiPriority w:val="10"/>
    <w:rsid w:val="004B2D19"/>
    <w:rPr>
      <w:rFonts w:ascii="Roboto" w:hAnsi="Roboto"/>
      <w:b/>
      <w:bCs/>
      <w:color w:val="FFFFFF" w:themeColor="background1"/>
      <w:sz w:val="28"/>
      <w:szCs w:val="28"/>
      <w:shd w:val="clear" w:color="auto" w:fill="0066CC"/>
    </w:rPr>
  </w:style>
  <w:style w:type="paragraph" w:styleId="Sottotitolo">
    <w:name w:val="Subtitle"/>
    <w:basedOn w:val="Normale"/>
    <w:next w:val="Normale"/>
    <w:link w:val="SottotitoloCarattere"/>
    <w:uiPriority w:val="11"/>
    <w:qFormat/>
    <w:pPr>
      <w:shd w:val="clear" w:color="auto" w:fill="0066CC"/>
      <w:jc w:val="center"/>
    </w:pPr>
    <w:rPr>
      <w:rFonts w:ascii="Roboto" w:eastAsia="Roboto" w:hAnsi="Roboto" w:cs="Roboto"/>
      <w:i/>
      <w:color w:val="FFFFFF"/>
    </w:rPr>
  </w:style>
  <w:style w:type="character" w:customStyle="1" w:styleId="SottotitoloCarattere">
    <w:name w:val="Sottotitolo Carattere"/>
    <w:basedOn w:val="Carpredefinitoparagrafo"/>
    <w:link w:val="Sottotitolo"/>
    <w:uiPriority w:val="11"/>
    <w:rsid w:val="004B2D19"/>
    <w:rPr>
      <w:rFonts w:ascii="Roboto" w:hAnsi="Roboto"/>
      <w:i/>
      <w:iCs/>
      <w:color w:val="FFFFFF" w:themeColor="background1"/>
      <w:shd w:val="clear" w:color="auto" w:fill="0066CC"/>
    </w:rPr>
  </w:style>
  <w:style w:type="paragraph" w:styleId="Paragrafoelenco">
    <w:name w:val="List Paragraph"/>
    <w:basedOn w:val="Normale"/>
    <w:uiPriority w:val="34"/>
    <w:qFormat/>
    <w:rsid w:val="00070163"/>
    <w:pPr>
      <w:ind w:left="720"/>
      <w:contextualSpacing/>
    </w:pPr>
  </w:style>
  <w:style w:type="character" w:customStyle="1" w:styleId="Titolo2Carattere">
    <w:name w:val="Titolo 2 Carattere"/>
    <w:basedOn w:val="Carpredefinitoparagrafo"/>
    <w:link w:val="Titolo2"/>
    <w:uiPriority w:val="9"/>
    <w:rsid w:val="009E1559"/>
    <w:rPr>
      <w:rFonts w:ascii="Roboto" w:hAnsi="Roboto"/>
      <w:b/>
      <w:bCs/>
      <w:u w:val="single"/>
    </w:rPr>
  </w:style>
  <w:style w:type="paragraph" w:styleId="Intestazione">
    <w:name w:val="header"/>
    <w:basedOn w:val="Normale"/>
    <w:link w:val="IntestazioneCarattere"/>
    <w:uiPriority w:val="99"/>
    <w:unhideWhenUsed/>
    <w:rsid w:val="00AD59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D5990"/>
    <w:rPr>
      <w:rFonts w:ascii="Titillium Web" w:hAnsi="Titillium Web"/>
    </w:rPr>
  </w:style>
  <w:style w:type="paragraph" w:styleId="Pidipagina">
    <w:name w:val="footer"/>
    <w:basedOn w:val="Normale"/>
    <w:link w:val="PidipaginaCarattere"/>
    <w:uiPriority w:val="99"/>
    <w:unhideWhenUsed/>
    <w:rsid w:val="00AD599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D5990"/>
    <w:rPr>
      <w:rFonts w:ascii="Titillium Web" w:hAnsi="Titillium Web"/>
    </w:rPr>
  </w:style>
  <w:style w:type="character" w:styleId="Collegamentoipertestuale">
    <w:name w:val="Hyperlink"/>
    <w:basedOn w:val="Carpredefinitoparagrafo"/>
    <w:uiPriority w:val="99"/>
    <w:unhideWhenUsed/>
    <w:rsid w:val="00A95DBF"/>
    <w:rPr>
      <w:color w:val="0563C1" w:themeColor="hyperlink"/>
      <w:u w:val="single"/>
    </w:rPr>
  </w:style>
  <w:style w:type="character" w:styleId="Menzionenonrisolta">
    <w:name w:val="Unresolved Mention"/>
    <w:basedOn w:val="Carpredefinitoparagrafo"/>
    <w:uiPriority w:val="99"/>
    <w:semiHidden/>
    <w:unhideWhenUsed/>
    <w:rsid w:val="00A95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mpresainungiorno.gov.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outu.be/OFRuYzPgkTY?list=PLnSj_AEcuoqQkxrZ78miVkQoFm2n5PjNB&amp;t=4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mpresainungiorno.gov.it/web/l-impresa-e-il-comune/attestazione-requisiti-suap" TargetMode="External"/><Relationship Id="rId4" Type="http://schemas.openxmlformats.org/officeDocument/2006/relationships/settings" Target="settings.xml"/><Relationship Id="rId9" Type="http://schemas.openxmlformats.org/officeDocument/2006/relationships/hyperlink" Target="https://www.impresainungiorno.gov.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0M17Dd8pieTNVA4shgCvLKb0tQ==">AMUW2mWGc5odJgJhyVNNCYtuxiuHjzAKqmZgKii3Gc/LlkyhjeSbLX/HeIRF7uY1fS6XWThcej+C7Z/3XV0AKHszZErSQKHYM7F4q9Dml+9mENT98D3IV10=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3</Pages>
  <Words>817</Words>
  <Characters>4657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Tantillo</dc:creator>
  <cp:lastModifiedBy>Andrea Tantillo</cp:lastModifiedBy>
  <cp:revision>6</cp:revision>
  <dcterms:created xsi:type="dcterms:W3CDTF">2022-06-13T12:40:00Z</dcterms:created>
  <dcterms:modified xsi:type="dcterms:W3CDTF">2022-07-15T09:02:00Z</dcterms:modified>
</cp:coreProperties>
</file>